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540" w:right="0" w:firstLine="0"/>
        <w:contextualSpacing w:val="0"/>
        <w:rPr/>
      </w:pPr>
      <w:r w:rsidDel="00000000" w:rsidR="00000000" w:rsidRPr="00000000">
        <w:rPr>
          <w:rtl w:val="0"/>
        </w:rPr>
        <w:t xml:space="preserve">1. ______ Physical Geography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2. ______ Diffusion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3. ______ Spatial Analyses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4. ______ Process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5. ______ Intermediate Direction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6. ______ Pattern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7. ______ Immigration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8. ______ Relative Location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9. ______ International Date Line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  <w:t xml:space="preserve">10. _____ Absolute Location</w:t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116092" cy="210026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092" cy="2100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  <w:t xml:space="preserve">Define, list notes example, and give your own example of each: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Formal Region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Functional Region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Perceptual Region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Push Factor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Pull Factor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ind w:left="-540" w:righ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08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Exa. 91°W, 40°N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mixing of people, cultures, food,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Exa. Between Houston and Galveston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Between Cardinal Directions, exa. NW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Study of relative location of people, places, and events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repeated regular phenomenon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Marker identifies the change of day; 180°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Continues action, repeats to form pattern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Movement of people to new regions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Study of process and patterns that affect the environment</w:t>
      </w:r>
    </w:p>
    <w:p w:rsidR="00000000" w:rsidDel="00000000" w:rsidP="00000000" w:rsidRDefault="00000000" w:rsidRPr="00000000">
      <w:pPr>
        <w:ind w:right="-3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0"/>
        <w:contextualSpacing w:val="0"/>
        <w:jc w:val="left"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Draw &amp; label Examples of Map</w:t>
      </w:r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u w:val="single"/>
          <w:rtl w:val="0"/>
        </w:rPr>
        <w:t xml:space="preserve">Projections</w:t>
      </w:r>
      <w:r w:rsidDel="00000000" w:rsidR="00000000" w:rsidRPr="00000000">
        <w:rPr>
          <w:rtl w:val="0"/>
        </w:rPr>
        <w:t xml:space="preserve">:</w:t>
      </w:r>
    </w:p>
    <w:sectPr>
      <w:headerReference r:id="rId6" w:type="default"/>
      <w:pgSz w:h="15840" w:w="12240"/>
      <w:pgMar w:bottom="1440" w:top="1440" w:left="1440" w:right="1440"/>
      <w:pgNumType w:start="1"/>
      <w:cols w:equalWidth="0" w:num="2">
        <w:col w:space="540" w:w="4410"/>
        <w:col w:space="0" w:w="44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Name: _______________________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Class: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